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F6E" w:rsidRPr="00C67F6E" w:rsidRDefault="00C67F6E" w:rsidP="00C67F6E">
      <w:pPr>
        <w:spacing w:before="100" w:beforeAutospacing="1" w:after="100" w:afterAutospacing="1" w:line="240" w:lineRule="auto"/>
        <w:rPr>
          <w:rFonts w:ascii="Times New Roman" w:eastAsia="Times New Roman" w:hAnsi="Times New Roman" w:cs="Times New Roman"/>
          <w:sz w:val="24"/>
          <w:szCs w:val="24"/>
          <w:lang w:eastAsia="es-ES"/>
        </w:rPr>
      </w:pPr>
      <w:r w:rsidRPr="00C67F6E">
        <w:rPr>
          <w:rFonts w:ascii="Times New Roman" w:eastAsia="Times New Roman" w:hAnsi="Times New Roman" w:cs="Times New Roman"/>
          <w:b/>
          <w:bCs/>
          <w:sz w:val="24"/>
          <w:szCs w:val="24"/>
          <w:lang w:eastAsia="es-ES"/>
        </w:rPr>
        <w:t xml:space="preserve">CIRCULAR 1/2010 sobre la incidencia en las mancomunidades de la Ley 8/2010 de Régimen Local de la </w:t>
      </w:r>
      <w:proofErr w:type="spellStart"/>
      <w:r w:rsidRPr="00C67F6E">
        <w:rPr>
          <w:rFonts w:ascii="Times New Roman" w:eastAsia="Times New Roman" w:hAnsi="Times New Roman" w:cs="Times New Roman"/>
          <w:b/>
          <w:bCs/>
          <w:sz w:val="24"/>
          <w:szCs w:val="24"/>
          <w:lang w:eastAsia="es-ES"/>
        </w:rPr>
        <w:t>Comunitat</w:t>
      </w:r>
      <w:proofErr w:type="spellEnd"/>
      <w:r w:rsidRPr="00C67F6E">
        <w:rPr>
          <w:rFonts w:ascii="Times New Roman" w:eastAsia="Times New Roman" w:hAnsi="Times New Roman" w:cs="Times New Roman"/>
          <w:b/>
          <w:bCs/>
          <w:sz w:val="24"/>
          <w:szCs w:val="24"/>
          <w:lang w:eastAsia="es-ES"/>
        </w:rPr>
        <w:t xml:space="preserve"> Valenciana.</w:t>
      </w:r>
    </w:p>
    <w:p w:rsidR="00C67F6E" w:rsidRPr="00C67F6E" w:rsidRDefault="00C67F6E" w:rsidP="00C67F6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67F6E">
        <w:rPr>
          <w:rFonts w:ascii="Times New Roman" w:eastAsia="Times New Roman" w:hAnsi="Times New Roman" w:cs="Times New Roman"/>
          <w:sz w:val="24"/>
          <w:szCs w:val="24"/>
          <w:lang w:eastAsia="es-ES"/>
        </w:rPr>
        <w:br/>
        <w:t xml:space="preserve">    El día 14 de julio de 2010 entró en vigor la ley 8/2010, de 23 de junio, de la Generalitat, de Régimen Local de la Generalitat Valenciana, dictada en virtud del título competencial atribuido por el artículo 49.1.8 del </w:t>
      </w:r>
      <w:proofErr w:type="spellStart"/>
      <w:r w:rsidRPr="00C67F6E">
        <w:rPr>
          <w:rFonts w:ascii="Times New Roman" w:eastAsia="Times New Roman" w:hAnsi="Times New Roman" w:cs="Times New Roman"/>
          <w:sz w:val="24"/>
          <w:szCs w:val="24"/>
          <w:lang w:eastAsia="es-ES"/>
        </w:rPr>
        <w:t>Estatut</w:t>
      </w:r>
      <w:proofErr w:type="spellEnd"/>
      <w:r w:rsidRPr="00C67F6E">
        <w:rPr>
          <w:rFonts w:ascii="Times New Roman" w:eastAsia="Times New Roman" w:hAnsi="Times New Roman" w:cs="Times New Roman"/>
          <w:sz w:val="24"/>
          <w:szCs w:val="24"/>
          <w:lang w:eastAsia="es-ES"/>
        </w:rPr>
        <w:t xml:space="preserve"> </w:t>
      </w:r>
      <w:proofErr w:type="spellStart"/>
      <w:r w:rsidRPr="00C67F6E">
        <w:rPr>
          <w:rFonts w:ascii="Times New Roman" w:eastAsia="Times New Roman" w:hAnsi="Times New Roman" w:cs="Times New Roman"/>
          <w:sz w:val="24"/>
          <w:szCs w:val="24"/>
          <w:lang w:eastAsia="es-ES"/>
        </w:rPr>
        <w:t>d'Autonomia</w:t>
      </w:r>
      <w:proofErr w:type="spellEnd"/>
      <w:r w:rsidRPr="00C67F6E">
        <w:rPr>
          <w:rFonts w:ascii="Times New Roman" w:eastAsia="Times New Roman" w:hAnsi="Times New Roman" w:cs="Times New Roman"/>
          <w:sz w:val="24"/>
          <w:szCs w:val="24"/>
          <w:lang w:eastAsia="es-ES"/>
        </w:rPr>
        <w:t xml:space="preserve"> de la </w:t>
      </w:r>
      <w:proofErr w:type="spellStart"/>
      <w:r w:rsidRPr="00C67F6E">
        <w:rPr>
          <w:rFonts w:ascii="Times New Roman" w:eastAsia="Times New Roman" w:hAnsi="Times New Roman" w:cs="Times New Roman"/>
          <w:sz w:val="24"/>
          <w:szCs w:val="24"/>
          <w:lang w:eastAsia="es-ES"/>
        </w:rPr>
        <w:t>Comunitat</w:t>
      </w:r>
      <w:proofErr w:type="spellEnd"/>
      <w:r w:rsidRPr="00C67F6E">
        <w:rPr>
          <w:rFonts w:ascii="Times New Roman" w:eastAsia="Times New Roman" w:hAnsi="Times New Roman" w:cs="Times New Roman"/>
          <w:sz w:val="24"/>
          <w:szCs w:val="24"/>
          <w:lang w:eastAsia="es-ES"/>
        </w:rPr>
        <w:t xml:space="preserve"> Valenciana, que atribuye a la Generalitat competencias en materia de Régimen Local, sin perjuicio del número 18 del apartado 1 del artículo 149 de la Constitución Española Alteraciones de términos municipales y topónimos.</w:t>
      </w:r>
      <w:r w:rsidRPr="00C67F6E">
        <w:rPr>
          <w:rFonts w:ascii="Times New Roman" w:eastAsia="Times New Roman" w:hAnsi="Times New Roman" w:cs="Times New Roman"/>
          <w:sz w:val="24"/>
          <w:szCs w:val="24"/>
          <w:lang w:eastAsia="es-ES"/>
        </w:rPr>
        <w:br/>
        <w:t xml:space="preserve">   La entrada en vigor de la Ley 8/2010 de 23 de junio de Régimen Local de la </w:t>
      </w:r>
      <w:proofErr w:type="spellStart"/>
      <w:r w:rsidRPr="00C67F6E">
        <w:rPr>
          <w:rFonts w:ascii="Times New Roman" w:eastAsia="Times New Roman" w:hAnsi="Times New Roman" w:cs="Times New Roman"/>
          <w:sz w:val="24"/>
          <w:szCs w:val="24"/>
          <w:lang w:eastAsia="es-ES"/>
        </w:rPr>
        <w:t>Comunitat</w:t>
      </w:r>
      <w:proofErr w:type="spellEnd"/>
      <w:r w:rsidRPr="00C67F6E">
        <w:rPr>
          <w:rFonts w:ascii="Times New Roman" w:eastAsia="Times New Roman" w:hAnsi="Times New Roman" w:cs="Times New Roman"/>
          <w:sz w:val="24"/>
          <w:szCs w:val="24"/>
          <w:lang w:eastAsia="es-ES"/>
        </w:rPr>
        <w:t xml:space="preserve"> Valenciana ha supuesto un cambio en la prelación de fuentes normativas pues esta norma dedica su Título VI a las Mancomunidades de Municipios y otras fórmulas asociativas de Entidades locales. Por ello en primer término habrá que estar a lo dispuesto en la normativa básica estatal, posteriormente a lo dispuesto en la Ley autonómica y sólo de forma supletoria a lo dispuesto en el resto de normas de ámbito estatal en tanto en cuanto no se complete el desarrollo reglamentario de la Ley 8/2010.</w:t>
      </w:r>
    </w:p>
    <w:p w:rsidR="00C67F6E" w:rsidRPr="00C67F6E" w:rsidRDefault="00C67F6E" w:rsidP="00C67F6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67F6E">
        <w:rPr>
          <w:rFonts w:ascii="Times New Roman" w:eastAsia="Times New Roman" w:hAnsi="Times New Roman" w:cs="Times New Roman"/>
          <w:sz w:val="24"/>
          <w:szCs w:val="24"/>
          <w:lang w:eastAsia="es-ES"/>
        </w:rPr>
        <w:t>    Una de las novedades de la nueva Ley es el fomento de las figuras asociativas municipales, lo que deriva en una regulación minuciosa de las mancomunidades.</w:t>
      </w:r>
      <w:r w:rsidRPr="00C67F6E">
        <w:rPr>
          <w:rFonts w:ascii="Times New Roman" w:eastAsia="Times New Roman" w:hAnsi="Times New Roman" w:cs="Times New Roman"/>
          <w:sz w:val="24"/>
          <w:szCs w:val="24"/>
          <w:lang w:eastAsia="es-ES"/>
        </w:rPr>
        <w:br/>
      </w:r>
      <w:r w:rsidRPr="00C67F6E">
        <w:rPr>
          <w:rFonts w:ascii="Times New Roman" w:eastAsia="Times New Roman" w:hAnsi="Times New Roman" w:cs="Times New Roman"/>
          <w:sz w:val="24"/>
          <w:szCs w:val="24"/>
          <w:lang w:eastAsia="es-ES"/>
        </w:rPr>
        <w:br/>
        <w:t>Las principales novedades de la Ley son las siguientes:</w:t>
      </w:r>
    </w:p>
    <w:p w:rsidR="00C67F6E" w:rsidRPr="00C67F6E" w:rsidRDefault="00C67F6E" w:rsidP="00C67F6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67F6E">
        <w:rPr>
          <w:rFonts w:ascii="Times New Roman" w:eastAsia="Times New Roman" w:hAnsi="Times New Roman" w:cs="Times New Roman"/>
          <w:b/>
          <w:bCs/>
          <w:sz w:val="24"/>
          <w:szCs w:val="24"/>
          <w:lang w:eastAsia="es-ES"/>
        </w:rPr>
        <w:t>- Regulación del procedimiento de constitución de la mancomunidad (Art. 93), sin perjuicio de la previsión de desarrollo reglamentario</w:t>
      </w:r>
    </w:p>
    <w:p w:rsidR="00C67F6E" w:rsidRPr="00C67F6E" w:rsidRDefault="00C67F6E" w:rsidP="00C67F6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C67F6E">
        <w:rPr>
          <w:rFonts w:ascii="Times New Roman" w:eastAsia="Times New Roman" w:hAnsi="Times New Roman" w:cs="Times New Roman"/>
          <w:sz w:val="24"/>
          <w:szCs w:val="24"/>
          <w:lang w:eastAsia="es-ES"/>
        </w:rPr>
        <w:t>Los municipios promotores constituyen una asamblea que comprenden todos los concejales para la elaboración de la memoria justificativa que acredite que la constitución de la mancomunidad constituye un beneficio para la comunidad por la mejor calidad y precio que supondría la prestación de esos servicios y el proyecto de estatutos.</w:t>
      </w:r>
    </w:p>
    <w:p w:rsidR="00C67F6E" w:rsidRPr="00C67F6E" w:rsidRDefault="00C67F6E" w:rsidP="00C67F6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C67F6E">
        <w:rPr>
          <w:rFonts w:ascii="Times New Roman" w:eastAsia="Times New Roman" w:hAnsi="Times New Roman" w:cs="Times New Roman"/>
          <w:sz w:val="24"/>
          <w:szCs w:val="24"/>
          <w:lang w:eastAsia="es-ES"/>
        </w:rPr>
        <w:t>Aprobados por mayoría absoluta del número legal de miembros de la asamblea se abrirá un periodo de información pública en los ayuntamientos promotores de un mes.</w:t>
      </w:r>
    </w:p>
    <w:p w:rsidR="00C67F6E" w:rsidRPr="00C67F6E" w:rsidRDefault="00C67F6E" w:rsidP="00C67F6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C67F6E">
        <w:rPr>
          <w:rFonts w:ascii="Times New Roman" w:eastAsia="Times New Roman" w:hAnsi="Times New Roman" w:cs="Times New Roman"/>
          <w:sz w:val="24"/>
          <w:szCs w:val="24"/>
          <w:lang w:eastAsia="es-ES"/>
        </w:rPr>
        <w:t>Traslado del expediente a la diputación provincial afectada y departamento de la Generalitat competente en materia de administración local, que emitirán informe preceptivo.</w:t>
      </w:r>
    </w:p>
    <w:p w:rsidR="00C67F6E" w:rsidRPr="00C67F6E" w:rsidRDefault="00C67F6E" w:rsidP="00C67F6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C67F6E">
        <w:rPr>
          <w:rFonts w:ascii="Times New Roman" w:eastAsia="Times New Roman" w:hAnsi="Times New Roman" w:cs="Times New Roman"/>
          <w:sz w:val="24"/>
          <w:szCs w:val="24"/>
          <w:lang w:eastAsia="es-ES"/>
        </w:rPr>
        <w:t> Aprobación definitiva por mayoría absoluta del número legal de miembros en cada uno de los Plenos de los ayuntamientos promotores.</w:t>
      </w:r>
    </w:p>
    <w:p w:rsidR="00C67F6E" w:rsidRPr="00C67F6E" w:rsidRDefault="00C67F6E" w:rsidP="00C67F6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C67F6E">
        <w:rPr>
          <w:rFonts w:ascii="Times New Roman" w:eastAsia="Times New Roman" w:hAnsi="Times New Roman" w:cs="Times New Roman"/>
          <w:sz w:val="24"/>
          <w:szCs w:val="24"/>
          <w:lang w:eastAsia="es-ES"/>
        </w:rPr>
        <w:t>La Presidencia de la asamblea remite el expediente al órgano de la Generalitat competente en materia de administración local, que previa comprobación ordena la publicación en el DOCV, la inscripción en el Registro de entidades locales de la Comunidad Valenciana. Al mismo tiempo, convoca a los representantes de los ayuntamientos mancomunados a la sesión constitutiva de la mancomunidad, dentro del mes siguiente a la publicación de los estatutos en el DOCV.</w:t>
      </w:r>
    </w:p>
    <w:p w:rsidR="00C67F6E" w:rsidRPr="00C67F6E" w:rsidRDefault="00C67F6E" w:rsidP="00C67F6E">
      <w:pPr>
        <w:spacing w:before="100" w:beforeAutospacing="1" w:after="100" w:afterAutospacing="1" w:line="240" w:lineRule="auto"/>
        <w:rPr>
          <w:rFonts w:ascii="Times New Roman" w:eastAsia="Times New Roman" w:hAnsi="Times New Roman" w:cs="Times New Roman"/>
          <w:sz w:val="24"/>
          <w:szCs w:val="24"/>
          <w:lang w:eastAsia="es-ES"/>
        </w:rPr>
      </w:pPr>
      <w:r w:rsidRPr="00C67F6E">
        <w:rPr>
          <w:rFonts w:ascii="Times New Roman" w:eastAsia="Times New Roman" w:hAnsi="Times New Roman" w:cs="Times New Roman"/>
          <w:b/>
          <w:bCs/>
          <w:sz w:val="24"/>
          <w:szCs w:val="24"/>
          <w:lang w:eastAsia="es-ES"/>
        </w:rPr>
        <w:t>- Contenido de los estatutos. (</w:t>
      </w:r>
      <w:proofErr w:type="gramStart"/>
      <w:r w:rsidRPr="00C67F6E">
        <w:rPr>
          <w:rFonts w:ascii="Times New Roman" w:eastAsia="Times New Roman" w:hAnsi="Times New Roman" w:cs="Times New Roman"/>
          <w:b/>
          <w:bCs/>
          <w:sz w:val="24"/>
          <w:szCs w:val="24"/>
          <w:lang w:eastAsia="es-ES"/>
        </w:rPr>
        <w:t>art</w:t>
      </w:r>
      <w:proofErr w:type="gramEnd"/>
      <w:r w:rsidRPr="00C67F6E">
        <w:rPr>
          <w:rFonts w:ascii="Times New Roman" w:eastAsia="Times New Roman" w:hAnsi="Times New Roman" w:cs="Times New Roman"/>
          <w:b/>
          <w:bCs/>
          <w:sz w:val="24"/>
          <w:szCs w:val="24"/>
          <w:lang w:eastAsia="es-ES"/>
        </w:rPr>
        <w:t>. 94)</w:t>
      </w:r>
    </w:p>
    <w:p w:rsidR="00C67F6E" w:rsidRPr="00C67F6E" w:rsidRDefault="00C67F6E" w:rsidP="00C67F6E">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C67F6E">
        <w:rPr>
          <w:rFonts w:ascii="Times New Roman" w:eastAsia="Times New Roman" w:hAnsi="Times New Roman" w:cs="Times New Roman"/>
          <w:sz w:val="24"/>
          <w:szCs w:val="24"/>
          <w:lang w:eastAsia="es-ES"/>
        </w:rPr>
        <w:t>Necesariamente los Estatutos como norma constitutiva y básica han de contener los siguientes extremos :</w:t>
      </w:r>
    </w:p>
    <w:p w:rsidR="00C67F6E" w:rsidRPr="00C67F6E" w:rsidRDefault="00C67F6E" w:rsidP="00C67F6E">
      <w:pPr>
        <w:spacing w:before="100" w:beforeAutospacing="1" w:after="100" w:afterAutospacing="1" w:line="240" w:lineRule="auto"/>
        <w:ind w:left="600"/>
        <w:jc w:val="both"/>
        <w:rPr>
          <w:rFonts w:ascii="Times New Roman" w:eastAsia="Times New Roman" w:hAnsi="Times New Roman" w:cs="Times New Roman"/>
          <w:sz w:val="24"/>
          <w:szCs w:val="24"/>
          <w:lang w:eastAsia="es-ES"/>
        </w:rPr>
      </w:pPr>
      <w:r w:rsidRPr="00C67F6E">
        <w:rPr>
          <w:rFonts w:ascii="Times New Roman" w:eastAsia="Times New Roman" w:hAnsi="Times New Roman" w:cs="Times New Roman"/>
          <w:sz w:val="24"/>
          <w:szCs w:val="24"/>
          <w:lang w:eastAsia="es-ES"/>
        </w:rPr>
        <w:lastRenderedPageBreak/>
        <w:t>a. Denominación</w:t>
      </w:r>
      <w:r w:rsidRPr="00C67F6E">
        <w:rPr>
          <w:rFonts w:ascii="Times New Roman" w:eastAsia="Times New Roman" w:hAnsi="Times New Roman" w:cs="Times New Roman"/>
          <w:sz w:val="24"/>
          <w:szCs w:val="24"/>
          <w:lang w:eastAsia="es-ES"/>
        </w:rPr>
        <w:br/>
        <w:t>b. Relación de municipios integrantes</w:t>
      </w:r>
      <w:r w:rsidRPr="00C67F6E">
        <w:rPr>
          <w:rFonts w:ascii="Times New Roman" w:eastAsia="Times New Roman" w:hAnsi="Times New Roman" w:cs="Times New Roman"/>
          <w:sz w:val="24"/>
          <w:szCs w:val="24"/>
          <w:lang w:eastAsia="es-ES"/>
        </w:rPr>
        <w:br/>
        <w:t>c. Objeto, competencias y potestades</w:t>
      </w:r>
      <w:r w:rsidRPr="00C67F6E">
        <w:rPr>
          <w:rFonts w:ascii="Times New Roman" w:eastAsia="Times New Roman" w:hAnsi="Times New Roman" w:cs="Times New Roman"/>
          <w:sz w:val="24"/>
          <w:szCs w:val="24"/>
          <w:lang w:eastAsia="es-ES"/>
        </w:rPr>
        <w:br/>
        <w:t>d. Órganos de gobierno, su composición y atribuciones respectivas. En todo caso, los órganos de gobierno serán representativos de los ayuntamientos mancomunados, mediante, la participación al menos del alcalde.</w:t>
      </w:r>
      <w:r w:rsidRPr="00C67F6E">
        <w:rPr>
          <w:rFonts w:ascii="Times New Roman" w:eastAsia="Times New Roman" w:hAnsi="Times New Roman" w:cs="Times New Roman"/>
          <w:sz w:val="24"/>
          <w:szCs w:val="24"/>
          <w:lang w:eastAsia="es-ES"/>
        </w:rPr>
        <w:br/>
        <w:t>e. Sede de los órganos de gobierno y administración</w:t>
      </w:r>
      <w:r w:rsidRPr="00C67F6E">
        <w:rPr>
          <w:rFonts w:ascii="Times New Roman" w:eastAsia="Times New Roman" w:hAnsi="Times New Roman" w:cs="Times New Roman"/>
          <w:sz w:val="24"/>
          <w:szCs w:val="24"/>
          <w:lang w:eastAsia="es-ES"/>
        </w:rPr>
        <w:br/>
        <w:t>f. Forma de designación y cese de los órganos de gobierno</w:t>
      </w:r>
      <w:r w:rsidRPr="00C67F6E">
        <w:rPr>
          <w:rFonts w:ascii="Times New Roman" w:eastAsia="Times New Roman" w:hAnsi="Times New Roman" w:cs="Times New Roman"/>
          <w:sz w:val="24"/>
          <w:szCs w:val="24"/>
          <w:lang w:eastAsia="es-ES"/>
        </w:rPr>
        <w:br/>
        <w:t>g. Normas de funcionamiento</w:t>
      </w:r>
      <w:r w:rsidRPr="00C67F6E">
        <w:rPr>
          <w:rFonts w:ascii="Times New Roman" w:eastAsia="Times New Roman" w:hAnsi="Times New Roman" w:cs="Times New Roman"/>
          <w:sz w:val="24"/>
          <w:szCs w:val="24"/>
          <w:lang w:eastAsia="es-ES"/>
        </w:rPr>
        <w:br/>
        <w:t xml:space="preserve">h. Régimen económico </w:t>
      </w:r>
      <w:proofErr w:type="gramStart"/>
      <w:r w:rsidRPr="00C67F6E">
        <w:rPr>
          <w:rFonts w:ascii="Times New Roman" w:eastAsia="Times New Roman" w:hAnsi="Times New Roman" w:cs="Times New Roman"/>
          <w:sz w:val="24"/>
          <w:szCs w:val="24"/>
          <w:lang w:eastAsia="es-ES"/>
        </w:rPr>
        <w:t>¿</w:t>
      </w:r>
      <w:proofErr w:type="gramEnd"/>
      <w:r w:rsidRPr="00C67F6E">
        <w:rPr>
          <w:rFonts w:ascii="Times New Roman" w:eastAsia="Times New Roman" w:hAnsi="Times New Roman" w:cs="Times New Roman"/>
          <w:sz w:val="24"/>
          <w:szCs w:val="24"/>
          <w:lang w:eastAsia="es-ES"/>
        </w:rPr>
        <w:t>financiero y criterios para las aportaciones de los municipios miembros así como, en su caso, el régimen de constitución y ejecución de avales para garantizar las aportaciones de los municipios.</w:t>
      </w:r>
      <w:r w:rsidRPr="00C67F6E">
        <w:rPr>
          <w:rFonts w:ascii="Times New Roman" w:eastAsia="Times New Roman" w:hAnsi="Times New Roman" w:cs="Times New Roman"/>
          <w:sz w:val="24"/>
          <w:szCs w:val="24"/>
          <w:lang w:eastAsia="es-ES"/>
        </w:rPr>
        <w:br/>
        <w:t>i. Régimen jurídico del personal, de conformidad, de conformidad con lo dispuesto en el artículo 159.3 de la presente Ley.</w:t>
      </w:r>
      <w:r w:rsidRPr="00C67F6E">
        <w:rPr>
          <w:rFonts w:ascii="Times New Roman" w:eastAsia="Times New Roman" w:hAnsi="Times New Roman" w:cs="Times New Roman"/>
          <w:sz w:val="24"/>
          <w:szCs w:val="24"/>
          <w:lang w:eastAsia="es-ES"/>
        </w:rPr>
        <w:br/>
        <w:t>j. Causas determinantes de la separación forzosa de sus miembros.</w:t>
      </w:r>
    </w:p>
    <w:p w:rsidR="00C67F6E" w:rsidRPr="00C67F6E" w:rsidRDefault="00C67F6E" w:rsidP="00C67F6E">
      <w:pPr>
        <w:spacing w:before="100" w:beforeAutospacing="1" w:after="100" w:afterAutospacing="1" w:line="240" w:lineRule="auto"/>
        <w:ind w:left="600"/>
        <w:jc w:val="both"/>
        <w:rPr>
          <w:rFonts w:ascii="Times New Roman" w:eastAsia="Times New Roman" w:hAnsi="Times New Roman" w:cs="Times New Roman"/>
          <w:sz w:val="24"/>
          <w:szCs w:val="24"/>
          <w:lang w:eastAsia="es-ES"/>
        </w:rPr>
      </w:pPr>
      <w:r w:rsidRPr="00C67F6E">
        <w:rPr>
          <w:rFonts w:ascii="Times New Roman" w:eastAsia="Times New Roman" w:hAnsi="Times New Roman" w:cs="Times New Roman"/>
          <w:sz w:val="24"/>
          <w:szCs w:val="24"/>
          <w:lang w:eastAsia="es-ES"/>
        </w:rPr>
        <w:t>(Esta es una novedad de la Ley 8/2010, debiendo estarse en todo caso a lo establecido en el artículo 96.3).</w:t>
      </w:r>
    </w:p>
    <w:p w:rsidR="00C67F6E" w:rsidRPr="00C67F6E" w:rsidRDefault="00C67F6E" w:rsidP="00C67F6E">
      <w:pPr>
        <w:spacing w:before="100" w:beforeAutospacing="1" w:after="100" w:afterAutospacing="1" w:line="240" w:lineRule="auto"/>
        <w:ind w:left="600"/>
        <w:jc w:val="both"/>
        <w:rPr>
          <w:rFonts w:ascii="Times New Roman" w:eastAsia="Times New Roman" w:hAnsi="Times New Roman" w:cs="Times New Roman"/>
          <w:sz w:val="24"/>
          <w:szCs w:val="24"/>
          <w:lang w:eastAsia="es-ES"/>
        </w:rPr>
      </w:pPr>
      <w:r w:rsidRPr="00C67F6E">
        <w:rPr>
          <w:rFonts w:ascii="Times New Roman" w:eastAsia="Times New Roman" w:hAnsi="Times New Roman" w:cs="Times New Roman"/>
          <w:sz w:val="24"/>
          <w:szCs w:val="24"/>
          <w:lang w:eastAsia="es-ES"/>
        </w:rPr>
        <w:t>k. Supuestos de disolución de la mancomunidad.</w:t>
      </w:r>
      <w:r w:rsidRPr="00C67F6E">
        <w:rPr>
          <w:rFonts w:ascii="Times New Roman" w:eastAsia="Times New Roman" w:hAnsi="Times New Roman" w:cs="Times New Roman"/>
          <w:sz w:val="24"/>
          <w:szCs w:val="24"/>
          <w:lang w:eastAsia="es-ES"/>
        </w:rPr>
        <w:br/>
        <w:t>l. Normas sobre la liquidación de la mancomunidad.</w:t>
      </w:r>
      <w:r w:rsidRPr="00C67F6E">
        <w:rPr>
          <w:rFonts w:ascii="Times New Roman" w:eastAsia="Times New Roman" w:hAnsi="Times New Roman" w:cs="Times New Roman"/>
          <w:sz w:val="24"/>
          <w:szCs w:val="24"/>
          <w:lang w:eastAsia="es-ES"/>
        </w:rPr>
        <w:br/>
        <w:t>m. Procedimiento de modificación de los estatutos cuando no sea consecuencia de la modificación de la mancomunidad según lo dispuesto en el art 95.</w:t>
      </w:r>
    </w:p>
    <w:p w:rsidR="00C67F6E" w:rsidRPr="00C67F6E" w:rsidRDefault="00C67F6E" w:rsidP="00C67F6E">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C67F6E">
        <w:rPr>
          <w:rFonts w:ascii="Times New Roman" w:eastAsia="Times New Roman" w:hAnsi="Times New Roman" w:cs="Times New Roman"/>
          <w:sz w:val="24"/>
          <w:szCs w:val="24"/>
          <w:lang w:eastAsia="es-ES"/>
        </w:rPr>
        <w:t>Se recoge la posibilidad de que los Estatutos recojan formulas de colaboración y asistencia con entidades locales menores pertenecientes a municipios no integrados en la mancomunidad que así lo soliciten en cuyo caso éstas podrán participar con voz pero sin voto en los órganos de gobiernos de la mancomunidad.</w:t>
      </w:r>
    </w:p>
    <w:p w:rsidR="00C67F6E" w:rsidRPr="00C67F6E" w:rsidRDefault="00C67F6E" w:rsidP="00C67F6E">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C67F6E">
        <w:rPr>
          <w:rFonts w:ascii="Times New Roman" w:eastAsia="Times New Roman" w:hAnsi="Times New Roman" w:cs="Times New Roman"/>
          <w:sz w:val="24"/>
          <w:szCs w:val="24"/>
          <w:lang w:eastAsia="es-ES"/>
        </w:rPr>
        <w:t>La Disposición Transitoria Sexta establece la obligatoriedad de adaptar los estatutos de las mancomunidades a lo dispuesto en la Ley en el plazo de 6 meses.</w:t>
      </w:r>
    </w:p>
    <w:p w:rsidR="00C67F6E" w:rsidRPr="00C67F6E" w:rsidRDefault="00C67F6E" w:rsidP="00C67F6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67F6E">
        <w:rPr>
          <w:rFonts w:ascii="Times New Roman" w:eastAsia="Times New Roman" w:hAnsi="Times New Roman" w:cs="Times New Roman"/>
          <w:b/>
          <w:bCs/>
          <w:sz w:val="24"/>
          <w:szCs w:val="24"/>
          <w:lang w:eastAsia="es-ES"/>
        </w:rPr>
        <w:t>- Modificación (art 95)</w:t>
      </w:r>
    </w:p>
    <w:p w:rsidR="00C67F6E" w:rsidRPr="00C67F6E" w:rsidRDefault="00C67F6E" w:rsidP="00C67F6E">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C67F6E">
        <w:rPr>
          <w:rFonts w:ascii="Times New Roman" w:eastAsia="Times New Roman" w:hAnsi="Times New Roman" w:cs="Times New Roman"/>
          <w:sz w:val="24"/>
          <w:szCs w:val="24"/>
          <w:lang w:eastAsia="es-ES"/>
        </w:rPr>
        <w:t>La Ley distingue entre modificación estatutaria de elementos constitutivos o de la mancomunidad y modificación de estatutos en aspectos no constitutivos:</w:t>
      </w:r>
    </w:p>
    <w:p w:rsidR="00C67F6E" w:rsidRPr="00C67F6E" w:rsidRDefault="00C67F6E" w:rsidP="00C67F6E">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C67F6E">
        <w:rPr>
          <w:rFonts w:ascii="Times New Roman" w:eastAsia="Times New Roman" w:hAnsi="Times New Roman" w:cs="Times New Roman"/>
          <w:sz w:val="24"/>
          <w:szCs w:val="24"/>
          <w:lang w:eastAsia="es-ES"/>
        </w:rPr>
        <w:t>La modificación estatutaria de elementos constitutivos seguirá el mismo procedimiento que el de constitución de la mancomunidad.</w:t>
      </w:r>
    </w:p>
    <w:p w:rsidR="00C67F6E" w:rsidRPr="00C67F6E" w:rsidRDefault="00C67F6E" w:rsidP="00C67F6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67F6E">
        <w:rPr>
          <w:rFonts w:ascii="Times New Roman" w:eastAsia="Times New Roman" w:hAnsi="Times New Roman" w:cs="Times New Roman"/>
          <w:sz w:val="24"/>
          <w:szCs w:val="24"/>
          <w:lang w:eastAsia="es-ES"/>
        </w:rPr>
        <w:t>Se entenderán por elementos constitutivos los siguientes:</w:t>
      </w:r>
    </w:p>
    <w:p w:rsidR="00C67F6E" w:rsidRPr="00C67F6E" w:rsidRDefault="00C67F6E" w:rsidP="00C67F6E">
      <w:pPr>
        <w:spacing w:before="100" w:beforeAutospacing="1" w:after="100" w:afterAutospacing="1" w:line="240" w:lineRule="auto"/>
        <w:ind w:left="600"/>
        <w:jc w:val="both"/>
        <w:rPr>
          <w:rFonts w:ascii="Times New Roman" w:eastAsia="Times New Roman" w:hAnsi="Times New Roman" w:cs="Times New Roman"/>
          <w:sz w:val="24"/>
          <w:szCs w:val="24"/>
          <w:lang w:eastAsia="es-ES"/>
        </w:rPr>
      </w:pPr>
      <w:r w:rsidRPr="00C67F6E">
        <w:rPr>
          <w:rFonts w:ascii="Times New Roman" w:eastAsia="Times New Roman" w:hAnsi="Times New Roman" w:cs="Times New Roman"/>
          <w:sz w:val="24"/>
          <w:szCs w:val="24"/>
          <w:lang w:eastAsia="es-ES"/>
        </w:rPr>
        <w:t>- Objeto, competencias y potestades</w:t>
      </w:r>
    </w:p>
    <w:p w:rsidR="00C67F6E" w:rsidRPr="00C67F6E" w:rsidRDefault="00C67F6E" w:rsidP="00C67F6E">
      <w:pPr>
        <w:spacing w:before="100" w:beforeAutospacing="1" w:after="100" w:afterAutospacing="1" w:line="240" w:lineRule="auto"/>
        <w:ind w:left="600"/>
        <w:jc w:val="both"/>
        <w:rPr>
          <w:rFonts w:ascii="Times New Roman" w:eastAsia="Times New Roman" w:hAnsi="Times New Roman" w:cs="Times New Roman"/>
          <w:sz w:val="24"/>
          <w:szCs w:val="24"/>
          <w:lang w:eastAsia="es-ES"/>
        </w:rPr>
      </w:pPr>
      <w:r w:rsidRPr="00C67F6E">
        <w:rPr>
          <w:rFonts w:ascii="Times New Roman" w:eastAsia="Times New Roman" w:hAnsi="Times New Roman" w:cs="Times New Roman"/>
          <w:sz w:val="24"/>
          <w:szCs w:val="24"/>
          <w:lang w:eastAsia="es-ES"/>
        </w:rPr>
        <w:t>- Órganos de gobierno y sistema de representación de los municipios en los mismos.</w:t>
      </w:r>
    </w:p>
    <w:p w:rsidR="00C67F6E" w:rsidRPr="00C67F6E" w:rsidRDefault="00C67F6E" w:rsidP="00C67F6E">
      <w:pPr>
        <w:spacing w:before="100" w:beforeAutospacing="1" w:after="100" w:afterAutospacing="1" w:line="240" w:lineRule="auto"/>
        <w:ind w:left="600"/>
        <w:jc w:val="both"/>
        <w:rPr>
          <w:rFonts w:ascii="Times New Roman" w:eastAsia="Times New Roman" w:hAnsi="Times New Roman" w:cs="Times New Roman"/>
          <w:sz w:val="24"/>
          <w:szCs w:val="24"/>
          <w:lang w:eastAsia="es-ES"/>
        </w:rPr>
      </w:pPr>
      <w:r w:rsidRPr="00C67F6E">
        <w:rPr>
          <w:rFonts w:ascii="Times New Roman" w:eastAsia="Times New Roman" w:hAnsi="Times New Roman" w:cs="Times New Roman"/>
          <w:sz w:val="24"/>
          <w:szCs w:val="24"/>
          <w:lang w:eastAsia="es-ES"/>
        </w:rPr>
        <w:t>- Régimen económico-financiero y criterios de las aportaciones de los municipios.</w:t>
      </w:r>
    </w:p>
    <w:p w:rsidR="00C67F6E" w:rsidRPr="00C67F6E" w:rsidRDefault="00C67F6E" w:rsidP="00C67F6E">
      <w:pPr>
        <w:spacing w:before="100" w:beforeAutospacing="1" w:after="100" w:afterAutospacing="1" w:line="240" w:lineRule="auto"/>
        <w:ind w:left="600"/>
        <w:jc w:val="both"/>
        <w:rPr>
          <w:rFonts w:ascii="Times New Roman" w:eastAsia="Times New Roman" w:hAnsi="Times New Roman" w:cs="Times New Roman"/>
          <w:sz w:val="24"/>
          <w:szCs w:val="24"/>
          <w:lang w:eastAsia="es-ES"/>
        </w:rPr>
      </w:pPr>
      <w:r w:rsidRPr="00C67F6E">
        <w:rPr>
          <w:rFonts w:ascii="Times New Roman" w:eastAsia="Times New Roman" w:hAnsi="Times New Roman" w:cs="Times New Roman"/>
          <w:sz w:val="24"/>
          <w:szCs w:val="24"/>
          <w:lang w:eastAsia="es-ES"/>
        </w:rPr>
        <w:lastRenderedPageBreak/>
        <w:t>- Supuestos de disolución de la mancomunidad. En este caso la mancomunidad mantendrá la personalidad jurídica hasta que el Pleno adopte el acuerdo de liquidación y distribución de su patrimonio, que se publicará en el DOCV.</w:t>
      </w:r>
    </w:p>
    <w:p w:rsidR="00C67F6E" w:rsidRPr="00C67F6E" w:rsidRDefault="00C67F6E" w:rsidP="00C67F6E">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C67F6E">
        <w:rPr>
          <w:rFonts w:ascii="Times New Roman" w:eastAsia="Times New Roman" w:hAnsi="Times New Roman" w:cs="Times New Roman"/>
          <w:sz w:val="24"/>
          <w:szCs w:val="24"/>
          <w:lang w:eastAsia="es-ES"/>
        </w:rPr>
        <w:t>Modificación estatutaria en aspectos no constitutivos en cuyo caso es suficiente el acuerdo del pleno de la mancomunidad adoptado por mayoría absoluta.</w:t>
      </w:r>
    </w:p>
    <w:p w:rsidR="00C67F6E" w:rsidRPr="00C67F6E" w:rsidRDefault="00C67F6E" w:rsidP="00C67F6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67F6E">
        <w:rPr>
          <w:rFonts w:ascii="Times New Roman" w:eastAsia="Times New Roman" w:hAnsi="Times New Roman" w:cs="Times New Roman"/>
          <w:b/>
          <w:bCs/>
          <w:sz w:val="24"/>
          <w:szCs w:val="24"/>
          <w:lang w:eastAsia="es-ES"/>
        </w:rPr>
        <w:t xml:space="preserve">- Adhesión y Separación de municipios </w:t>
      </w:r>
      <w:proofErr w:type="gramStart"/>
      <w:r w:rsidRPr="00C67F6E">
        <w:rPr>
          <w:rFonts w:ascii="Times New Roman" w:eastAsia="Times New Roman" w:hAnsi="Times New Roman" w:cs="Times New Roman"/>
          <w:b/>
          <w:bCs/>
          <w:sz w:val="24"/>
          <w:szCs w:val="24"/>
          <w:lang w:eastAsia="es-ES"/>
        </w:rPr>
        <w:t>( art</w:t>
      </w:r>
      <w:proofErr w:type="gramEnd"/>
      <w:r w:rsidRPr="00C67F6E">
        <w:rPr>
          <w:rFonts w:ascii="Times New Roman" w:eastAsia="Times New Roman" w:hAnsi="Times New Roman" w:cs="Times New Roman"/>
          <w:b/>
          <w:bCs/>
          <w:sz w:val="24"/>
          <w:szCs w:val="24"/>
          <w:lang w:eastAsia="es-ES"/>
        </w:rPr>
        <w:t>. 96 )</w:t>
      </w:r>
    </w:p>
    <w:p w:rsidR="00C67F6E" w:rsidRPr="00C67F6E" w:rsidRDefault="00C67F6E" w:rsidP="00C67F6E">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C67F6E">
        <w:rPr>
          <w:rFonts w:ascii="Times New Roman" w:eastAsia="Times New Roman" w:hAnsi="Times New Roman" w:cs="Times New Roman"/>
          <w:sz w:val="24"/>
          <w:szCs w:val="24"/>
          <w:lang w:eastAsia="es-ES"/>
        </w:rPr>
        <w:t>Mientras que por definición la adhesión a la mancomunidad sólo puede ser voluntaria, la ley distingue entre la separación voluntaria o unilateral y forzosa:</w:t>
      </w:r>
    </w:p>
    <w:p w:rsidR="00C67F6E" w:rsidRPr="00C67F6E" w:rsidRDefault="00C67F6E" w:rsidP="00C67F6E">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C67F6E">
        <w:rPr>
          <w:rFonts w:ascii="Times New Roman" w:eastAsia="Times New Roman" w:hAnsi="Times New Roman" w:cs="Times New Roman"/>
          <w:sz w:val="24"/>
          <w:szCs w:val="24"/>
          <w:lang w:eastAsia="es-ES"/>
        </w:rPr>
        <w:t>El procedimiento de adhesión y separación voluntaria o unilateral de uno o más municipios se regulará en los estatutos requiriendo en todo caso acuerdos adoptados por mayoría absoluta de la corporación afectada y del pleno de la mancomunidad.</w:t>
      </w:r>
    </w:p>
    <w:p w:rsidR="00C67F6E" w:rsidRPr="00C67F6E" w:rsidRDefault="00C67F6E" w:rsidP="00C67F6E">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C67F6E">
        <w:rPr>
          <w:rFonts w:ascii="Times New Roman" w:eastAsia="Times New Roman" w:hAnsi="Times New Roman" w:cs="Times New Roman"/>
          <w:sz w:val="24"/>
          <w:szCs w:val="24"/>
          <w:lang w:eastAsia="es-ES"/>
        </w:rPr>
        <w:t>En el supuesto de separación voluntaria o unilateral éstos recogerán en todo caso la obligación de cumplimiento de obligaciones pendientes y la de notificarlo con un año de antelación.</w:t>
      </w:r>
    </w:p>
    <w:p w:rsidR="00C67F6E" w:rsidRPr="00C67F6E" w:rsidRDefault="00C67F6E" w:rsidP="00C67F6E">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C67F6E">
        <w:rPr>
          <w:rFonts w:ascii="Times New Roman" w:eastAsia="Times New Roman" w:hAnsi="Times New Roman" w:cs="Times New Roman"/>
          <w:sz w:val="24"/>
          <w:szCs w:val="24"/>
          <w:lang w:eastAsia="es-ES"/>
        </w:rPr>
        <w:t>Igualmente los estatutos regularan el procedimiento y causas de separación forzosa teniendo en cuenta:</w:t>
      </w:r>
    </w:p>
    <w:p w:rsidR="00C67F6E" w:rsidRPr="00C67F6E" w:rsidRDefault="00C67F6E" w:rsidP="00C67F6E">
      <w:pPr>
        <w:spacing w:before="100" w:beforeAutospacing="1" w:after="100" w:afterAutospacing="1" w:line="240" w:lineRule="auto"/>
        <w:ind w:left="600"/>
        <w:jc w:val="both"/>
        <w:rPr>
          <w:rFonts w:ascii="Times New Roman" w:eastAsia="Times New Roman" w:hAnsi="Times New Roman" w:cs="Times New Roman"/>
          <w:sz w:val="24"/>
          <w:szCs w:val="24"/>
          <w:lang w:eastAsia="es-ES"/>
        </w:rPr>
      </w:pPr>
      <w:r w:rsidRPr="00C67F6E">
        <w:rPr>
          <w:rFonts w:ascii="Times New Roman" w:eastAsia="Times New Roman" w:hAnsi="Times New Roman" w:cs="Times New Roman"/>
          <w:sz w:val="24"/>
          <w:szCs w:val="24"/>
          <w:lang w:eastAsia="es-ES"/>
        </w:rPr>
        <w:t>- Serán siempre causa de separación forzosa el persistente incumplimiento del pago de sus aportaciones y el incumplimiento de aquellas otras actuaciones necesarias para el correcto desenvolvimiento de la mancomunidad a las que venga obligado en los estatutos.</w:t>
      </w:r>
    </w:p>
    <w:p w:rsidR="00C67F6E" w:rsidRPr="00C67F6E" w:rsidRDefault="00C67F6E" w:rsidP="00C67F6E">
      <w:pPr>
        <w:spacing w:before="100" w:beforeAutospacing="1" w:after="100" w:afterAutospacing="1" w:line="240" w:lineRule="auto"/>
        <w:ind w:left="600"/>
        <w:jc w:val="both"/>
        <w:rPr>
          <w:rFonts w:ascii="Times New Roman" w:eastAsia="Times New Roman" w:hAnsi="Times New Roman" w:cs="Times New Roman"/>
          <w:sz w:val="24"/>
          <w:szCs w:val="24"/>
          <w:lang w:eastAsia="es-ES"/>
        </w:rPr>
      </w:pPr>
      <w:r w:rsidRPr="00C67F6E">
        <w:rPr>
          <w:rFonts w:ascii="Times New Roman" w:eastAsia="Times New Roman" w:hAnsi="Times New Roman" w:cs="Times New Roman"/>
          <w:sz w:val="24"/>
          <w:szCs w:val="24"/>
          <w:lang w:eastAsia="es-ES"/>
        </w:rPr>
        <w:t>- Debe ir precedido de un requerimiento previo y otorgamiento de un plazo de cumplimiento de las obligaciones.</w:t>
      </w:r>
    </w:p>
    <w:p w:rsidR="00C67F6E" w:rsidRPr="00C67F6E" w:rsidRDefault="00C67F6E" w:rsidP="00C67F6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67F6E">
        <w:rPr>
          <w:rFonts w:ascii="Times New Roman" w:eastAsia="Times New Roman" w:hAnsi="Times New Roman" w:cs="Times New Roman"/>
          <w:sz w:val="24"/>
          <w:szCs w:val="24"/>
          <w:lang w:eastAsia="es-ES"/>
        </w:rPr>
        <w:br/>
      </w:r>
      <w:r w:rsidRPr="00C67F6E">
        <w:rPr>
          <w:rFonts w:ascii="Times New Roman" w:eastAsia="Times New Roman" w:hAnsi="Times New Roman" w:cs="Times New Roman"/>
          <w:b/>
          <w:bCs/>
          <w:sz w:val="24"/>
          <w:szCs w:val="24"/>
          <w:lang w:eastAsia="es-ES"/>
        </w:rPr>
        <w:t>Organización y Funcionamiento</w:t>
      </w:r>
    </w:p>
    <w:p w:rsidR="00C67F6E" w:rsidRPr="00C67F6E" w:rsidRDefault="00C67F6E" w:rsidP="00C67F6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67F6E">
        <w:rPr>
          <w:rFonts w:ascii="Times New Roman" w:eastAsia="Times New Roman" w:hAnsi="Times New Roman" w:cs="Times New Roman"/>
          <w:sz w:val="24"/>
          <w:szCs w:val="24"/>
          <w:lang w:eastAsia="es-ES"/>
        </w:rPr>
        <w:t>Esta es una de las modificaciones más importantes de la Ley. Se distingue entre los órganos necesarios y los complementarios.</w:t>
      </w:r>
    </w:p>
    <w:p w:rsidR="00C67F6E" w:rsidRPr="00C67F6E" w:rsidRDefault="00C67F6E" w:rsidP="00C67F6E">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C67F6E">
        <w:rPr>
          <w:rFonts w:ascii="Times New Roman" w:eastAsia="Times New Roman" w:hAnsi="Times New Roman" w:cs="Times New Roman"/>
          <w:sz w:val="24"/>
          <w:szCs w:val="24"/>
          <w:lang w:eastAsia="es-ES"/>
        </w:rPr>
        <w:t>Son órganos necesarios en todas las mancomunidades el Presidente y el Pleno.</w:t>
      </w:r>
    </w:p>
    <w:p w:rsidR="00C67F6E" w:rsidRPr="00C67F6E" w:rsidRDefault="00C67F6E" w:rsidP="00C67F6E">
      <w:pPr>
        <w:spacing w:before="100" w:beforeAutospacing="1" w:after="100" w:afterAutospacing="1" w:line="240" w:lineRule="auto"/>
        <w:ind w:left="600"/>
        <w:jc w:val="both"/>
        <w:rPr>
          <w:rFonts w:ascii="Times New Roman" w:eastAsia="Times New Roman" w:hAnsi="Times New Roman" w:cs="Times New Roman"/>
          <w:sz w:val="24"/>
          <w:szCs w:val="24"/>
          <w:lang w:eastAsia="es-ES"/>
        </w:rPr>
      </w:pPr>
      <w:r w:rsidRPr="00C67F6E">
        <w:rPr>
          <w:rFonts w:ascii="Times New Roman" w:eastAsia="Times New Roman" w:hAnsi="Times New Roman" w:cs="Times New Roman"/>
          <w:sz w:val="24"/>
          <w:szCs w:val="24"/>
          <w:lang w:eastAsia="es-ES"/>
        </w:rPr>
        <w:t>- En el Pleno cada municipio estará representado por dos vocales, el Alcalde y otro concejal, elegido por mayoría absoluta por el respectivo Pleno municipal.</w:t>
      </w:r>
      <w:r w:rsidRPr="00C67F6E">
        <w:rPr>
          <w:rFonts w:ascii="Times New Roman" w:eastAsia="Times New Roman" w:hAnsi="Times New Roman" w:cs="Times New Roman"/>
          <w:sz w:val="24"/>
          <w:szCs w:val="24"/>
          <w:lang w:eastAsia="es-ES"/>
        </w:rPr>
        <w:br/>
        <w:t>La pérdida de la condición de Alcalde o concejal supondrá el cese como representante del ayuntamiento en la mancomunidad, así como también, en el caso de los concejales, la revocación del nombramiento efectuado por el Pleno respectivo.</w:t>
      </w:r>
    </w:p>
    <w:p w:rsidR="00C67F6E" w:rsidRPr="00C67F6E" w:rsidRDefault="00C67F6E" w:rsidP="00C67F6E">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r w:rsidRPr="00C67F6E">
        <w:rPr>
          <w:rFonts w:ascii="Times New Roman" w:eastAsia="Times New Roman" w:hAnsi="Times New Roman" w:cs="Times New Roman"/>
          <w:sz w:val="24"/>
          <w:szCs w:val="24"/>
          <w:lang w:eastAsia="es-ES"/>
        </w:rPr>
        <w:t>Las mancomunidades con población superior a 20.000 habitantes deberán contar además con la Junta de gobierno y las comisiones informativas. En las demás mancomunidades estos órganos serán potestativos.</w:t>
      </w:r>
    </w:p>
    <w:p w:rsidR="00C67F6E" w:rsidRPr="00C67F6E" w:rsidRDefault="00C67F6E" w:rsidP="00C67F6E">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r w:rsidRPr="00C67F6E">
        <w:rPr>
          <w:rFonts w:ascii="Times New Roman" w:eastAsia="Times New Roman" w:hAnsi="Times New Roman" w:cs="Times New Roman"/>
          <w:sz w:val="24"/>
          <w:szCs w:val="24"/>
          <w:lang w:eastAsia="es-ES"/>
        </w:rPr>
        <w:t xml:space="preserve">Después de cada proceso electoral y en el plazo de tres meses siguientes a la constitución de los ayuntamientos, el presidente en funciones de la mancomunidad convocará la sesión plenaria para la constitución y elección de </w:t>
      </w:r>
      <w:r w:rsidRPr="00C67F6E">
        <w:rPr>
          <w:rFonts w:ascii="Times New Roman" w:eastAsia="Times New Roman" w:hAnsi="Times New Roman" w:cs="Times New Roman"/>
          <w:sz w:val="24"/>
          <w:szCs w:val="24"/>
          <w:lang w:eastAsia="es-ES"/>
        </w:rPr>
        <w:lastRenderedPageBreak/>
        <w:t>los órganos de gobierno, de conformidad con lo establecido en los estatutos. Si no se convocara dentro del plazo señalado, quedará automáticamente convocada para el último día hábil de dicho plazo. (art. 102.2)</w:t>
      </w:r>
    </w:p>
    <w:p w:rsidR="00C67F6E" w:rsidRPr="00C67F6E" w:rsidRDefault="00C67F6E" w:rsidP="00C67F6E">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r w:rsidRPr="00C67F6E">
        <w:rPr>
          <w:rFonts w:ascii="Times New Roman" w:eastAsia="Times New Roman" w:hAnsi="Times New Roman" w:cs="Times New Roman"/>
          <w:sz w:val="24"/>
          <w:szCs w:val="24"/>
          <w:lang w:eastAsia="es-ES"/>
        </w:rPr>
        <w:t>Los estatutos podrán además crear otros órganos cuando se considere necesario por el volumen de actividad o número de municipios lo aconseje.</w:t>
      </w:r>
    </w:p>
    <w:p w:rsidR="00C67F6E" w:rsidRPr="00C67F6E" w:rsidRDefault="00C67F6E" w:rsidP="00C67F6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67F6E">
        <w:rPr>
          <w:rFonts w:ascii="Times New Roman" w:eastAsia="Times New Roman" w:hAnsi="Times New Roman" w:cs="Times New Roman"/>
          <w:b/>
          <w:bCs/>
          <w:sz w:val="24"/>
          <w:szCs w:val="24"/>
          <w:lang w:eastAsia="es-ES"/>
        </w:rPr>
        <w:t>El voto ponderado (art. 100)</w:t>
      </w:r>
    </w:p>
    <w:p w:rsidR="00C67F6E" w:rsidRPr="00C67F6E" w:rsidRDefault="00C67F6E" w:rsidP="00C67F6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67F6E">
        <w:rPr>
          <w:rFonts w:ascii="Times New Roman" w:eastAsia="Times New Roman" w:hAnsi="Times New Roman" w:cs="Times New Roman"/>
          <w:sz w:val="24"/>
          <w:szCs w:val="24"/>
          <w:lang w:eastAsia="es-ES"/>
        </w:rPr>
        <w:t>La nueva Ley, a la hora de elegir entre los sistemas de representación municipal en los órganos de gobierno utiliza el voto ponderado, mediante el cual a todos los municipios se les otorga un número igual de representantes, pero a la hora de votar se atribuye un número de votos proporcional al peso específico del municipio representado, en función de factores señalados, en este caso número de residentes.</w:t>
      </w:r>
    </w:p>
    <w:p w:rsidR="00C67F6E" w:rsidRPr="00C67F6E" w:rsidRDefault="00C67F6E" w:rsidP="00C67F6E">
      <w:pPr>
        <w:numPr>
          <w:ilvl w:val="0"/>
          <w:numId w:val="9"/>
        </w:numPr>
        <w:spacing w:before="100" w:beforeAutospacing="1" w:after="100" w:afterAutospacing="1" w:line="240" w:lineRule="auto"/>
        <w:rPr>
          <w:rFonts w:ascii="Times New Roman" w:eastAsia="Times New Roman" w:hAnsi="Times New Roman" w:cs="Times New Roman"/>
          <w:sz w:val="24"/>
          <w:szCs w:val="24"/>
          <w:lang w:eastAsia="es-ES"/>
        </w:rPr>
      </w:pPr>
      <w:r w:rsidRPr="00C67F6E">
        <w:rPr>
          <w:rFonts w:ascii="Times New Roman" w:eastAsia="Times New Roman" w:hAnsi="Times New Roman" w:cs="Times New Roman"/>
          <w:sz w:val="24"/>
          <w:szCs w:val="24"/>
          <w:lang w:eastAsia="es-ES"/>
        </w:rPr>
        <w:t>En las votaciones del Pleno se utilizará el voto ponderado, tomando como referencia el número de concejales que corresponden a cada municipio conforme al artículo 179 de la ley Orgánica 5/1985, de 19 de junio, Reguladora del Régimen Electoral General:</w:t>
      </w:r>
    </w:p>
    <w:p w:rsidR="00C67F6E" w:rsidRPr="00C67F6E" w:rsidRDefault="00C67F6E" w:rsidP="00C67F6E">
      <w:pPr>
        <w:spacing w:before="100" w:beforeAutospacing="1" w:after="100" w:afterAutospacing="1" w:line="240" w:lineRule="auto"/>
        <w:ind w:left="600"/>
        <w:jc w:val="both"/>
        <w:rPr>
          <w:rFonts w:ascii="Times New Roman" w:eastAsia="Times New Roman" w:hAnsi="Times New Roman" w:cs="Times New Roman"/>
          <w:sz w:val="24"/>
          <w:szCs w:val="24"/>
          <w:lang w:eastAsia="es-ES"/>
        </w:rPr>
      </w:pPr>
      <w:r w:rsidRPr="00C67F6E">
        <w:rPr>
          <w:rFonts w:ascii="Times New Roman" w:eastAsia="Times New Roman" w:hAnsi="Times New Roman" w:cs="Times New Roman"/>
          <w:sz w:val="24"/>
          <w:szCs w:val="24"/>
          <w:lang w:eastAsia="es-ES"/>
        </w:rPr>
        <w:br/>
        <w:t>- Hasta 100 residentes 3 Concejales</w:t>
      </w:r>
      <w:r w:rsidRPr="00C67F6E">
        <w:rPr>
          <w:rFonts w:ascii="Times New Roman" w:eastAsia="Times New Roman" w:hAnsi="Times New Roman" w:cs="Times New Roman"/>
          <w:sz w:val="24"/>
          <w:szCs w:val="24"/>
          <w:lang w:eastAsia="es-ES"/>
        </w:rPr>
        <w:br/>
        <w:t>- De 101 a 250 residentes 5 Concejales</w:t>
      </w:r>
      <w:r w:rsidRPr="00C67F6E">
        <w:rPr>
          <w:rFonts w:ascii="Times New Roman" w:eastAsia="Times New Roman" w:hAnsi="Times New Roman" w:cs="Times New Roman"/>
          <w:sz w:val="24"/>
          <w:szCs w:val="24"/>
          <w:lang w:eastAsia="es-ES"/>
        </w:rPr>
        <w:br/>
        <w:t>- De 251 a 1000 residentes 7 Concejales</w:t>
      </w:r>
      <w:r w:rsidRPr="00C67F6E">
        <w:rPr>
          <w:rFonts w:ascii="Times New Roman" w:eastAsia="Times New Roman" w:hAnsi="Times New Roman" w:cs="Times New Roman"/>
          <w:sz w:val="24"/>
          <w:szCs w:val="24"/>
          <w:lang w:eastAsia="es-ES"/>
        </w:rPr>
        <w:br/>
        <w:t>- De 1001 a 2.000 residentes 9 Concejales</w:t>
      </w:r>
      <w:r w:rsidRPr="00C67F6E">
        <w:rPr>
          <w:rFonts w:ascii="Times New Roman" w:eastAsia="Times New Roman" w:hAnsi="Times New Roman" w:cs="Times New Roman"/>
          <w:sz w:val="24"/>
          <w:szCs w:val="24"/>
          <w:lang w:eastAsia="es-ES"/>
        </w:rPr>
        <w:br/>
        <w:t>- De 2001 a 5.000 residentes 11 Concejales</w:t>
      </w:r>
      <w:r w:rsidRPr="00C67F6E">
        <w:rPr>
          <w:rFonts w:ascii="Times New Roman" w:eastAsia="Times New Roman" w:hAnsi="Times New Roman" w:cs="Times New Roman"/>
          <w:sz w:val="24"/>
          <w:szCs w:val="24"/>
          <w:lang w:eastAsia="es-ES"/>
        </w:rPr>
        <w:br/>
        <w:t>- De 5.001 a 10.000 residentes 13 Concejales</w:t>
      </w:r>
      <w:r w:rsidRPr="00C67F6E">
        <w:rPr>
          <w:rFonts w:ascii="Times New Roman" w:eastAsia="Times New Roman" w:hAnsi="Times New Roman" w:cs="Times New Roman"/>
          <w:sz w:val="24"/>
          <w:szCs w:val="24"/>
          <w:lang w:eastAsia="es-ES"/>
        </w:rPr>
        <w:br/>
        <w:t>- De 10.001 a 20.000 residentes 17 Concejales</w:t>
      </w:r>
      <w:r w:rsidRPr="00C67F6E">
        <w:rPr>
          <w:rFonts w:ascii="Times New Roman" w:eastAsia="Times New Roman" w:hAnsi="Times New Roman" w:cs="Times New Roman"/>
          <w:sz w:val="24"/>
          <w:szCs w:val="24"/>
          <w:lang w:eastAsia="es-ES"/>
        </w:rPr>
        <w:br/>
        <w:t>- De 20.001 a 50.000 residentes 21 Concejales</w:t>
      </w:r>
      <w:r w:rsidRPr="00C67F6E">
        <w:rPr>
          <w:rFonts w:ascii="Times New Roman" w:eastAsia="Times New Roman" w:hAnsi="Times New Roman" w:cs="Times New Roman"/>
          <w:sz w:val="24"/>
          <w:szCs w:val="24"/>
          <w:lang w:eastAsia="es-ES"/>
        </w:rPr>
        <w:br/>
        <w:t>- De 50.001 a 100.00 residentes 25 Concejales</w:t>
      </w:r>
      <w:r w:rsidRPr="00C67F6E">
        <w:rPr>
          <w:rFonts w:ascii="Times New Roman" w:eastAsia="Times New Roman" w:hAnsi="Times New Roman" w:cs="Times New Roman"/>
          <w:sz w:val="24"/>
          <w:szCs w:val="24"/>
          <w:lang w:eastAsia="es-ES"/>
        </w:rPr>
        <w:br/>
        <w:t>- De 100.001 en adelante, un Concejal más por cada 100.000 residentes o fracción añadiéndose uno más cuando el resultado sea un número par.</w:t>
      </w:r>
    </w:p>
    <w:p w:rsidR="00C67F6E" w:rsidRPr="00C67F6E" w:rsidRDefault="00C67F6E" w:rsidP="00C67F6E">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ES"/>
        </w:rPr>
      </w:pPr>
      <w:r w:rsidRPr="00C67F6E">
        <w:rPr>
          <w:rFonts w:ascii="Times New Roman" w:eastAsia="Times New Roman" w:hAnsi="Times New Roman" w:cs="Times New Roman"/>
          <w:sz w:val="24"/>
          <w:szCs w:val="24"/>
          <w:lang w:eastAsia="es-ES"/>
        </w:rPr>
        <w:t>Atendiendo a la tipología poblacional de los municipios que conforman la mancomunidad, podrán, con carácter excepcional y debidamente justificados, reajustar los votos de alguno o algunos tramos de población para lograr una mayor representatividad.</w:t>
      </w:r>
    </w:p>
    <w:p w:rsidR="00C67F6E" w:rsidRPr="00C67F6E" w:rsidRDefault="00C67F6E" w:rsidP="00C67F6E">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ES"/>
        </w:rPr>
      </w:pPr>
      <w:r w:rsidRPr="00C67F6E">
        <w:rPr>
          <w:rFonts w:ascii="Times New Roman" w:eastAsia="Times New Roman" w:hAnsi="Times New Roman" w:cs="Times New Roman"/>
          <w:sz w:val="24"/>
          <w:szCs w:val="24"/>
          <w:lang w:eastAsia="es-ES"/>
        </w:rPr>
        <w:t>El número de habitantes que se toma de referencia para aplicar la escala será el utilizado en las elecciones municipales inmediatamente precedentes a la constitución de la mancomunidad.</w:t>
      </w:r>
    </w:p>
    <w:p w:rsidR="00C67F6E" w:rsidRPr="00C67F6E" w:rsidRDefault="00C67F6E" w:rsidP="00C67F6E">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ES"/>
        </w:rPr>
      </w:pPr>
      <w:r w:rsidRPr="00C67F6E">
        <w:rPr>
          <w:rFonts w:ascii="Times New Roman" w:eastAsia="Times New Roman" w:hAnsi="Times New Roman" w:cs="Times New Roman"/>
          <w:sz w:val="24"/>
          <w:szCs w:val="24"/>
          <w:lang w:eastAsia="es-ES"/>
        </w:rPr>
        <w:t>El voto se emitirá por el Alcalde de cada municipio, y en caso de ausencia por el concejal designado como segundo vocal</w:t>
      </w:r>
    </w:p>
    <w:p w:rsidR="00C67F6E" w:rsidRPr="00C67F6E" w:rsidRDefault="00C67F6E" w:rsidP="00C67F6E">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ES"/>
        </w:rPr>
      </w:pPr>
      <w:r w:rsidRPr="00C67F6E">
        <w:rPr>
          <w:rFonts w:ascii="Times New Roman" w:eastAsia="Times New Roman" w:hAnsi="Times New Roman" w:cs="Times New Roman"/>
          <w:sz w:val="24"/>
          <w:szCs w:val="24"/>
          <w:lang w:eastAsia="es-ES"/>
        </w:rPr>
        <w:t>La Ley se remite a los estatutos y a la normativa de régimen local para regular los demás aspectos del funcionamiento.</w:t>
      </w:r>
    </w:p>
    <w:p w:rsidR="00C67F6E" w:rsidRPr="00C67F6E" w:rsidRDefault="00C67F6E" w:rsidP="00C67F6E">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ES"/>
        </w:rPr>
      </w:pPr>
      <w:r w:rsidRPr="00C67F6E">
        <w:rPr>
          <w:rFonts w:ascii="Times New Roman" w:eastAsia="Times New Roman" w:hAnsi="Times New Roman" w:cs="Times New Roman"/>
          <w:sz w:val="24"/>
          <w:szCs w:val="24"/>
          <w:lang w:eastAsia="es-ES"/>
        </w:rPr>
        <w:t xml:space="preserve">Conforme a la disposición Transitoria Primera </w:t>
      </w:r>
      <w:r w:rsidRPr="00C67F6E">
        <w:rPr>
          <w:rFonts w:ascii="Times New Roman" w:eastAsia="Times New Roman" w:hAnsi="Times New Roman" w:cs="Times New Roman"/>
          <w:sz w:val="24"/>
          <w:szCs w:val="24"/>
          <w:u w:val="single"/>
          <w:lang w:eastAsia="es-ES"/>
        </w:rPr>
        <w:t>el sistema de voto ponderado entrará en vigor tras la celebración de las siguientes elecciones locales y nueva constitución de los órganos de gobierno, manteniendo hasta ese momento el sistema que vinieren utilizando</w:t>
      </w:r>
      <w:r w:rsidRPr="00C67F6E">
        <w:rPr>
          <w:rFonts w:ascii="Times New Roman" w:eastAsia="Times New Roman" w:hAnsi="Times New Roman" w:cs="Times New Roman"/>
          <w:sz w:val="24"/>
          <w:szCs w:val="24"/>
          <w:lang w:eastAsia="es-ES"/>
        </w:rPr>
        <w:t>.</w:t>
      </w:r>
    </w:p>
    <w:p w:rsidR="00C67F6E" w:rsidRPr="00C67F6E" w:rsidRDefault="00C67F6E" w:rsidP="00C67F6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67F6E">
        <w:rPr>
          <w:rFonts w:ascii="Times New Roman" w:eastAsia="Times New Roman" w:hAnsi="Times New Roman" w:cs="Times New Roman"/>
          <w:sz w:val="24"/>
          <w:szCs w:val="24"/>
          <w:lang w:eastAsia="es-ES"/>
        </w:rPr>
        <w:br/>
      </w:r>
      <w:r w:rsidRPr="00C67F6E">
        <w:rPr>
          <w:rFonts w:ascii="Times New Roman" w:eastAsia="Times New Roman" w:hAnsi="Times New Roman" w:cs="Times New Roman"/>
          <w:b/>
          <w:bCs/>
          <w:sz w:val="24"/>
          <w:szCs w:val="24"/>
          <w:lang w:eastAsia="es-ES"/>
        </w:rPr>
        <w:t>Medios personales (103)</w:t>
      </w:r>
    </w:p>
    <w:p w:rsidR="00C67F6E" w:rsidRPr="00C67F6E" w:rsidRDefault="00C67F6E" w:rsidP="00C67F6E">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ES"/>
        </w:rPr>
      </w:pPr>
      <w:r w:rsidRPr="00C67F6E">
        <w:rPr>
          <w:rFonts w:ascii="Times New Roman" w:eastAsia="Times New Roman" w:hAnsi="Times New Roman" w:cs="Times New Roman"/>
          <w:sz w:val="24"/>
          <w:szCs w:val="24"/>
          <w:lang w:eastAsia="es-ES"/>
        </w:rPr>
        <w:lastRenderedPageBreak/>
        <w:t>El Pleno de la Mancomunidad aprobará anualmente, junto con el presupuesto, la correspondiente plantilla de personal propio que comprenderá todos los puestos de trabajo reservados a funcionarios y laborales.</w:t>
      </w:r>
    </w:p>
    <w:p w:rsidR="00C67F6E" w:rsidRPr="00C67F6E" w:rsidRDefault="00C67F6E" w:rsidP="00C67F6E">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ES"/>
        </w:rPr>
      </w:pPr>
      <w:r w:rsidRPr="00C67F6E">
        <w:rPr>
          <w:rFonts w:ascii="Times New Roman" w:eastAsia="Times New Roman" w:hAnsi="Times New Roman" w:cs="Times New Roman"/>
          <w:sz w:val="24"/>
          <w:szCs w:val="24"/>
          <w:lang w:eastAsia="es-ES"/>
        </w:rPr>
        <w:t>La selección y régimen jurídico de este personal así como la provisión de los puestos de trabajo existentes se regirá, al igual que para el resto de las Corporaciones Locales, por lo establecido en la normativa básica sobre función pública, régimen local y resto de la legislación aplicable.</w:t>
      </w:r>
    </w:p>
    <w:p w:rsidR="00C67F6E" w:rsidRPr="00C67F6E" w:rsidRDefault="00C67F6E" w:rsidP="00C67F6E">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ES"/>
        </w:rPr>
      </w:pPr>
      <w:r w:rsidRPr="00C67F6E">
        <w:rPr>
          <w:rFonts w:ascii="Times New Roman" w:eastAsia="Times New Roman" w:hAnsi="Times New Roman" w:cs="Times New Roman"/>
          <w:sz w:val="24"/>
          <w:szCs w:val="24"/>
          <w:lang w:eastAsia="es-ES"/>
        </w:rPr>
        <w:t>En función del volumen de la actividad previsible, podría establecerse que el personal de la Mancomunidad no fuera propio sino de los municipios mancomunados, que podrían articular un sistema rotatorio de cesión del personal necesario, de acuerdo con el artículo 90 de la Ley 8/2010.</w:t>
      </w:r>
    </w:p>
    <w:p w:rsidR="00C67F6E" w:rsidRPr="00C67F6E" w:rsidRDefault="00C67F6E" w:rsidP="00C67F6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67F6E">
        <w:rPr>
          <w:rFonts w:ascii="Times New Roman" w:eastAsia="Times New Roman" w:hAnsi="Times New Roman" w:cs="Times New Roman"/>
          <w:b/>
          <w:bCs/>
          <w:sz w:val="24"/>
          <w:szCs w:val="24"/>
          <w:lang w:eastAsia="es-ES"/>
        </w:rPr>
        <w:t>Funcionarios con habilitación de carácter estatal (104)</w:t>
      </w:r>
    </w:p>
    <w:p w:rsidR="00C67F6E" w:rsidRPr="00C67F6E" w:rsidRDefault="00C67F6E" w:rsidP="00C67F6E">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ES"/>
        </w:rPr>
      </w:pPr>
      <w:r w:rsidRPr="00C67F6E">
        <w:rPr>
          <w:rFonts w:ascii="Times New Roman" w:eastAsia="Times New Roman" w:hAnsi="Times New Roman" w:cs="Times New Roman"/>
          <w:sz w:val="24"/>
          <w:szCs w:val="24"/>
          <w:lang w:eastAsia="es-ES"/>
        </w:rPr>
        <w:t>En cada Mancomunidad existirá un puesto de trabajo reservado a funcionarios de administración local con habilitación de carácter estatal al que corresponderán las funciones de secretaría, comprensiva de la fe pública y asesoramiento legal preceptivo, así como el control y fiscalización interna de la gestión económico-financiera y presupuestaria, y la contabilidad, tesorería y recaudación.</w:t>
      </w:r>
    </w:p>
    <w:p w:rsidR="00C67F6E" w:rsidRPr="00C67F6E" w:rsidRDefault="00C67F6E" w:rsidP="00C67F6E">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ES"/>
        </w:rPr>
      </w:pPr>
      <w:r w:rsidRPr="00C67F6E">
        <w:rPr>
          <w:rFonts w:ascii="Times New Roman" w:eastAsia="Times New Roman" w:hAnsi="Times New Roman" w:cs="Times New Roman"/>
          <w:sz w:val="24"/>
          <w:szCs w:val="24"/>
          <w:lang w:eastAsia="es-ES"/>
        </w:rPr>
        <w:t>En tanto se cree y clasifique reglamentariamente por el órgano autonómico competente dicho puesto de trabajo las citadas funciones podrán ser desempeñadas por algún funcionario de administración local con habilitación de carácter estatal de alguno de los municipios que integran la mancomunidad previa designación por el Pleno de la misma.</w:t>
      </w:r>
    </w:p>
    <w:p w:rsidR="00C67F6E" w:rsidRPr="00C67F6E" w:rsidRDefault="00C67F6E" w:rsidP="00C67F6E">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ES"/>
        </w:rPr>
      </w:pPr>
      <w:r w:rsidRPr="00C67F6E">
        <w:rPr>
          <w:rFonts w:ascii="Times New Roman" w:eastAsia="Times New Roman" w:hAnsi="Times New Roman" w:cs="Times New Roman"/>
          <w:sz w:val="24"/>
          <w:szCs w:val="24"/>
          <w:lang w:eastAsia="es-ES"/>
        </w:rPr>
        <w:t>No obstante, si una vez creado y clasificado se estima que el volumen de servicios o recursos de la Mancomunidad es insuficiente para el mantenimiento de dicho puesto de trabajo se podrá de conformidad con la normativa aplicable, solicitar la exención de la obligación de mantenerlo. En ese supuesto y una vez concedida la citada exención las funciones reservadas a habilitados de carácter estatal se ejercerán a través de funcionario con esta habilitación de alguno de los municipios que integran la Mancomunidad, si ello no fuere posible dichas funciones reservadas se ejercerán mediante acumulación a un funcionario con habilitación de carácter estatal de otra Entidad local o por el servicio de asistencia de las Diputaciones previa conformidad de estas.</w:t>
      </w:r>
    </w:p>
    <w:p w:rsidR="00C67F6E" w:rsidRPr="00C67F6E" w:rsidRDefault="00C67F6E" w:rsidP="00C67F6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67F6E">
        <w:rPr>
          <w:rFonts w:ascii="Times New Roman" w:eastAsia="Times New Roman" w:hAnsi="Times New Roman" w:cs="Times New Roman"/>
          <w:b/>
          <w:bCs/>
          <w:sz w:val="24"/>
          <w:szCs w:val="24"/>
          <w:lang w:eastAsia="es-ES"/>
        </w:rPr>
        <w:t>Las mancomunidades de interés preferente (107)</w:t>
      </w:r>
    </w:p>
    <w:p w:rsidR="00C67F6E" w:rsidRPr="00C67F6E" w:rsidRDefault="00C67F6E" w:rsidP="00C67F6E">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ES"/>
        </w:rPr>
      </w:pPr>
      <w:r w:rsidRPr="00C67F6E">
        <w:rPr>
          <w:rFonts w:ascii="Times New Roman" w:eastAsia="Times New Roman" w:hAnsi="Times New Roman" w:cs="Times New Roman"/>
          <w:sz w:val="24"/>
          <w:szCs w:val="24"/>
          <w:lang w:eastAsia="es-ES"/>
        </w:rPr>
        <w:t>Podrán solicitar la declaración de mancomunidad de interés preferente aquellas mancomunidades que se constituyan con el objetivo prioritario de la reactivación económica y demográfica de los municipios que la integran.</w:t>
      </w:r>
    </w:p>
    <w:p w:rsidR="00C67F6E" w:rsidRPr="00C67F6E" w:rsidRDefault="00C67F6E" w:rsidP="00C67F6E">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ES"/>
        </w:rPr>
      </w:pPr>
      <w:r w:rsidRPr="00C67F6E">
        <w:rPr>
          <w:rFonts w:ascii="Times New Roman" w:eastAsia="Times New Roman" w:hAnsi="Times New Roman" w:cs="Times New Roman"/>
          <w:sz w:val="24"/>
          <w:szCs w:val="24"/>
          <w:lang w:eastAsia="es-ES"/>
        </w:rPr>
        <w:t xml:space="preserve">El procedimiento para obtener dicha declaración, que corresponderá a la </w:t>
      </w:r>
      <w:proofErr w:type="spellStart"/>
      <w:r w:rsidRPr="00C67F6E">
        <w:rPr>
          <w:rFonts w:ascii="Times New Roman" w:eastAsia="Times New Roman" w:hAnsi="Times New Roman" w:cs="Times New Roman"/>
          <w:sz w:val="24"/>
          <w:szCs w:val="24"/>
          <w:lang w:eastAsia="es-ES"/>
        </w:rPr>
        <w:t>conselleria</w:t>
      </w:r>
      <w:proofErr w:type="spellEnd"/>
      <w:r w:rsidRPr="00C67F6E">
        <w:rPr>
          <w:rFonts w:ascii="Times New Roman" w:eastAsia="Times New Roman" w:hAnsi="Times New Roman" w:cs="Times New Roman"/>
          <w:sz w:val="24"/>
          <w:szCs w:val="24"/>
          <w:lang w:eastAsia="es-ES"/>
        </w:rPr>
        <w:t xml:space="preserve"> competente en materia de administración local previo informe de la diputación provincial, será objeto de desarrollo reglamentario.</w:t>
      </w:r>
    </w:p>
    <w:p w:rsidR="001411AB" w:rsidRDefault="001411AB"/>
    <w:sectPr w:rsidR="001411AB" w:rsidSect="001411A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3B45"/>
    <w:multiLevelType w:val="multilevel"/>
    <w:tmpl w:val="13FA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4573A"/>
    <w:multiLevelType w:val="multilevel"/>
    <w:tmpl w:val="1C58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2F294F"/>
    <w:multiLevelType w:val="multilevel"/>
    <w:tmpl w:val="027E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03697E"/>
    <w:multiLevelType w:val="multilevel"/>
    <w:tmpl w:val="9922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917417"/>
    <w:multiLevelType w:val="multilevel"/>
    <w:tmpl w:val="CE7C1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F523F5"/>
    <w:multiLevelType w:val="multilevel"/>
    <w:tmpl w:val="46F0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742BEA"/>
    <w:multiLevelType w:val="multilevel"/>
    <w:tmpl w:val="B384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FD382A"/>
    <w:multiLevelType w:val="multilevel"/>
    <w:tmpl w:val="CBF8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217ED0"/>
    <w:multiLevelType w:val="multilevel"/>
    <w:tmpl w:val="9A0E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F8339E"/>
    <w:multiLevelType w:val="multilevel"/>
    <w:tmpl w:val="0538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DE4254"/>
    <w:multiLevelType w:val="multilevel"/>
    <w:tmpl w:val="8054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6D7D58"/>
    <w:multiLevelType w:val="multilevel"/>
    <w:tmpl w:val="BD40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816092"/>
    <w:multiLevelType w:val="multilevel"/>
    <w:tmpl w:val="00C2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6"/>
  </w:num>
  <w:num w:numId="4">
    <w:abstractNumId w:val="5"/>
  </w:num>
  <w:num w:numId="5">
    <w:abstractNumId w:val="7"/>
  </w:num>
  <w:num w:numId="6">
    <w:abstractNumId w:val="4"/>
  </w:num>
  <w:num w:numId="7">
    <w:abstractNumId w:val="2"/>
  </w:num>
  <w:num w:numId="8">
    <w:abstractNumId w:val="10"/>
  </w:num>
  <w:num w:numId="9">
    <w:abstractNumId w:val="3"/>
  </w:num>
  <w:num w:numId="10">
    <w:abstractNumId w:val="1"/>
  </w:num>
  <w:num w:numId="11">
    <w:abstractNumId w:val="9"/>
  </w:num>
  <w:num w:numId="12">
    <w:abstractNumId w:val="1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7F6E"/>
    <w:rsid w:val="001411AB"/>
    <w:rsid w:val="00353B75"/>
    <w:rsid w:val="00C67F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1A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67F6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67F6E"/>
    <w:rPr>
      <w:b/>
      <w:bCs/>
    </w:rPr>
  </w:style>
</w:styles>
</file>

<file path=word/webSettings.xml><?xml version="1.0" encoding="utf-8"?>
<w:webSettings xmlns:r="http://schemas.openxmlformats.org/officeDocument/2006/relationships" xmlns:w="http://schemas.openxmlformats.org/wordprocessingml/2006/main">
  <w:divs>
    <w:div w:id="39127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2008</Words>
  <Characters>11045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Algar</dc:creator>
  <cp:keywords/>
  <dc:description/>
  <cp:lastModifiedBy>Algar</cp:lastModifiedBy>
  <cp:revision>1</cp:revision>
  <cp:lastPrinted>2017-03-14T11:17:00Z</cp:lastPrinted>
  <dcterms:created xsi:type="dcterms:W3CDTF">2017-03-14T11:15:00Z</dcterms:created>
  <dcterms:modified xsi:type="dcterms:W3CDTF">2017-03-14T11:38:00Z</dcterms:modified>
</cp:coreProperties>
</file>